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1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927E09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1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A85007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2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"/>
    </w:p>
    <w:p w:rsidR="005D269F" w:rsidRDefault="005D269F">
      <w:pPr>
        <w:jc w:val="center"/>
        <w:rPr>
          <w:color w:val="000000" w:themeColor="text1"/>
          <w:sz w:val="22"/>
          <w:szCs w:val="22"/>
        </w:rPr>
      </w:pPr>
    </w:p>
    <w:p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>
        <w:trPr>
          <w:trHeight w:val="704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>
        <w:trPr>
          <w:trHeight w:val="343"/>
          <w:jc w:val="center"/>
        </w:trPr>
        <w:tc>
          <w:tcPr>
            <w:tcW w:w="4770" w:type="dxa"/>
            <w:vAlign w:val="center"/>
          </w:tcPr>
          <w:p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4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5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8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9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10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1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4677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trHeight w:val="8779"/>
        </w:trPr>
        <w:tc>
          <w:tcPr>
            <w:tcW w:w="10436" w:type="dxa"/>
            <w:gridSpan w:val="6"/>
          </w:tcPr>
          <w:p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5D269F" w:rsidRDefault="005D269F">
      <w:pPr>
        <w:rPr>
          <w:rFonts w:eastAsiaTheme="minorEastAsia"/>
          <w:color w:val="000000" w:themeColor="text1"/>
          <w:szCs w:val="22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2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2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3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3"/>
    </w:p>
    <w:p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4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4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5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5"/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5D269F" w:rsidRDefault="005D269F">
      <w:pPr>
        <w:rPr>
          <w:rFonts w:eastAsia="標楷體"/>
          <w:color w:val="000000" w:themeColor="text1"/>
          <w:szCs w:val="22"/>
        </w:rPr>
      </w:pPr>
    </w:p>
    <w:p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6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6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5D269F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7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7"/>
    </w:p>
    <w:p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8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8"/>
          </w:p>
        </w:tc>
      </w:tr>
      <w:tr w:rsidR="005D269F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5D269F" w:rsidRDefault="005D269F">
      <w:pPr>
        <w:rPr>
          <w:color w:val="000000" w:themeColor="text1"/>
        </w:rPr>
      </w:pPr>
    </w:p>
    <w:p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07" w:rsidRDefault="00A85007">
      <w:r>
        <w:separator/>
      </w:r>
    </w:p>
  </w:endnote>
  <w:endnote w:type="continuationSeparator" w:id="0">
    <w:p w:rsidR="00A85007" w:rsidRDefault="00A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344910"/>
    </w:sdtPr>
    <w:sdtEndPr/>
    <w:sdtContent>
      <w:p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8A" w:rsidRPr="00AB028A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07" w:rsidRDefault="00A85007">
      <w:r>
        <w:separator/>
      </w:r>
    </w:p>
  </w:footnote>
  <w:footnote w:type="continuationSeparator" w:id="0">
    <w:p w:rsidR="00A85007" w:rsidRDefault="00A8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201E"/>
    <w:rsid w:val="0069365C"/>
    <w:rsid w:val="006944AA"/>
    <w:rsid w:val="00695269"/>
    <w:rsid w:val="006B7A92"/>
    <w:rsid w:val="006D0512"/>
    <w:rsid w:val="006D175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27E09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85007"/>
    <w:rsid w:val="00A91111"/>
    <w:rsid w:val="00AA1E9C"/>
    <w:rsid w:val="00AB028A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B212C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E8ECC8-12BF-44E5-A895-D16356C9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F627A-F709-4346-B184-18169167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2819</Words>
  <Characters>10263</Characters>
  <Application>Microsoft Office Word</Application>
  <DocSecurity>0</DocSecurity>
  <Lines>3421</Lines>
  <Paragraphs>2616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username</cp:lastModifiedBy>
  <cp:revision>2</cp:revision>
  <cp:lastPrinted>2019-04-18T03:30:00Z</cp:lastPrinted>
  <dcterms:created xsi:type="dcterms:W3CDTF">2023-05-03T04:44:00Z</dcterms:created>
  <dcterms:modified xsi:type="dcterms:W3CDTF">2023-05-03T04:44:00Z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GrammarlyDocumentId">
    <vt:lpwstr>4a6f44fec1c6296d84cd82e3369d29602088db6572683ad3bedd032d34b34d06</vt:lpwstr>
  </property>
</Properties>
</file>